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89E2F" w14:textId="77777777" w:rsidR="007307B7" w:rsidRDefault="007307B7" w:rsidP="001D24EE">
      <w:pPr>
        <w:pStyle w:val="NoSpacing"/>
        <w:rPr>
          <w:b/>
          <w:sz w:val="16"/>
          <w:szCs w:val="16"/>
        </w:rPr>
      </w:pPr>
    </w:p>
    <w:p w14:paraId="4DBCBFEE" w14:textId="58967A24" w:rsidR="001D24EE" w:rsidRDefault="00444FD0" w:rsidP="001D24EE">
      <w:pPr>
        <w:pStyle w:val="NoSpacing"/>
        <w:rPr>
          <w:b/>
          <w:sz w:val="16"/>
          <w:szCs w:val="16"/>
        </w:rPr>
      </w:pPr>
      <w:r>
        <w:rPr>
          <w:b/>
          <w:sz w:val="16"/>
          <w:szCs w:val="16"/>
        </w:rPr>
        <w:t>11-1</w:t>
      </w:r>
      <w:r w:rsidR="001D24EE" w:rsidRPr="001D24EE">
        <w:rPr>
          <w:b/>
          <w:sz w:val="16"/>
          <w:szCs w:val="16"/>
        </w:rPr>
        <w:t>-19</w:t>
      </w:r>
    </w:p>
    <w:p w14:paraId="0110F0CF" w14:textId="77777777" w:rsidR="0010331E" w:rsidRPr="001D24EE" w:rsidRDefault="0010331E" w:rsidP="001D24EE">
      <w:pPr>
        <w:pStyle w:val="NoSpacing"/>
        <w:rPr>
          <w:b/>
          <w:sz w:val="16"/>
          <w:szCs w:val="16"/>
        </w:rPr>
      </w:pPr>
    </w:p>
    <w:p w14:paraId="7C1A11A5" w14:textId="2B8CA5AE" w:rsidR="00107150" w:rsidRPr="001D24EE" w:rsidRDefault="00107150" w:rsidP="00DB11A0">
      <w:pPr>
        <w:pStyle w:val="NoSpacing"/>
        <w:jc w:val="center"/>
        <w:rPr>
          <w:b/>
          <w:sz w:val="28"/>
          <w:szCs w:val="28"/>
        </w:rPr>
      </w:pPr>
      <w:r w:rsidRPr="001D24EE">
        <w:rPr>
          <w:b/>
          <w:sz w:val="28"/>
          <w:szCs w:val="28"/>
        </w:rPr>
        <w:t>Highlands Ranch HOA</w:t>
      </w:r>
    </w:p>
    <w:p w14:paraId="4F0A421D" w14:textId="48578403" w:rsidR="00CD7342" w:rsidRDefault="00CD7342" w:rsidP="00DB11A0">
      <w:pPr>
        <w:pStyle w:val="NoSpacing"/>
        <w:jc w:val="center"/>
        <w:rPr>
          <w:b/>
          <w:sz w:val="24"/>
          <w:szCs w:val="24"/>
        </w:rPr>
      </w:pPr>
    </w:p>
    <w:p w14:paraId="0CC5FB39" w14:textId="6CF78E7E" w:rsidR="004C1D2A" w:rsidRPr="0010331E" w:rsidRDefault="00071ED1" w:rsidP="005E28E6">
      <w:pPr>
        <w:pStyle w:val="NoSpacing"/>
        <w:jc w:val="center"/>
        <w:rPr>
          <w:b/>
          <w:sz w:val="28"/>
          <w:szCs w:val="28"/>
          <w:u w:val="single"/>
        </w:rPr>
      </w:pPr>
      <w:r w:rsidRPr="00071ED1">
        <w:rPr>
          <w:b/>
          <w:sz w:val="28"/>
          <w:szCs w:val="28"/>
        </w:rPr>
        <w:t>S</w:t>
      </w:r>
      <w:r>
        <w:rPr>
          <w:b/>
          <w:sz w:val="28"/>
          <w:szCs w:val="28"/>
        </w:rPr>
        <w:t>ummary of Collection Policy</w:t>
      </w:r>
      <w:r w:rsidR="005E28E6">
        <w:rPr>
          <w:b/>
          <w:sz w:val="28"/>
          <w:szCs w:val="28"/>
        </w:rPr>
        <w:t xml:space="preserve"> &amp; </w:t>
      </w:r>
      <w:r w:rsidR="00107150" w:rsidRPr="005E28E6">
        <w:rPr>
          <w:b/>
          <w:sz w:val="28"/>
          <w:szCs w:val="28"/>
        </w:rPr>
        <w:t>Delinquent Account</w:t>
      </w:r>
      <w:r w:rsidR="005E28E6" w:rsidRPr="005E28E6">
        <w:rPr>
          <w:b/>
          <w:sz w:val="28"/>
          <w:szCs w:val="28"/>
        </w:rPr>
        <w:t xml:space="preserve"> Fee</w:t>
      </w:r>
      <w:bookmarkStart w:id="0" w:name="_GoBack"/>
      <w:bookmarkEnd w:id="0"/>
      <w:r w:rsidR="005E28E6" w:rsidRPr="005E28E6">
        <w:rPr>
          <w:b/>
          <w:sz w:val="28"/>
          <w:szCs w:val="28"/>
        </w:rPr>
        <w:t>s</w:t>
      </w:r>
    </w:p>
    <w:p w14:paraId="2AA1817B" w14:textId="67B5ACAE" w:rsidR="0020103D" w:rsidRPr="001909A6" w:rsidRDefault="0020103D" w:rsidP="00771279">
      <w:pPr>
        <w:pStyle w:val="NoSpacing"/>
      </w:pPr>
    </w:p>
    <w:p w14:paraId="3FAE7C4F" w14:textId="32ADEB4A" w:rsidR="0020103D" w:rsidRPr="0010331E" w:rsidRDefault="0020103D" w:rsidP="00771279">
      <w:pPr>
        <w:pStyle w:val="NoSpacing"/>
        <w:rPr>
          <w:sz w:val="24"/>
          <w:szCs w:val="24"/>
        </w:rPr>
      </w:pPr>
      <w:r w:rsidRPr="0010331E">
        <w:rPr>
          <w:sz w:val="24"/>
          <w:szCs w:val="24"/>
        </w:rPr>
        <w:t xml:space="preserve">Assessment billings/statements are mailed by </w:t>
      </w:r>
      <w:r w:rsidR="00444FD0" w:rsidRPr="0010331E">
        <w:rPr>
          <w:sz w:val="24"/>
          <w:szCs w:val="24"/>
        </w:rPr>
        <w:t>Diamond Association Management &amp; Consulting (DAMC)</w:t>
      </w:r>
      <w:r w:rsidRPr="0010331E">
        <w:rPr>
          <w:sz w:val="24"/>
          <w:szCs w:val="24"/>
        </w:rPr>
        <w:t xml:space="preserve"> to </w:t>
      </w:r>
      <w:r w:rsidR="003F70F1" w:rsidRPr="0010331E">
        <w:rPr>
          <w:sz w:val="24"/>
          <w:szCs w:val="24"/>
        </w:rPr>
        <w:t>owners</w:t>
      </w:r>
      <w:r w:rsidRPr="0010331E">
        <w:rPr>
          <w:sz w:val="24"/>
          <w:szCs w:val="24"/>
        </w:rPr>
        <w:t xml:space="preserve"> a</w:t>
      </w:r>
      <w:r w:rsidR="002A7BD9" w:rsidRPr="0010331E">
        <w:rPr>
          <w:sz w:val="24"/>
          <w:szCs w:val="24"/>
        </w:rPr>
        <w:t>t least 10</w:t>
      </w:r>
      <w:r w:rsidRPr="0010331E">
        <w:rPr>
          <w:sz w:val="24"/>
          <w:szCs w:val="24"/>
        </w:rPr>
        <w:t xml:space="preserve"> days prior to the first day of each quarter.  </w:t>
      </w:r>
      <w:r w:rsidR="003F70F1" w:rsidRPr="0010331E">
        <w:rPr>
          <w:sz w:val="24"/>
          <w:szCs w:val="24"/>
        </w:rPr>
        <w:t>The owner’s</w:t>
      </w:r>
      <w:r w:rsidR="002A7BD9" w:rsidRPr="0010331E">
        <w:rPr>
          <w:sz w:val="24"/>
          <w:szCs w:val="24"/>
        </w:rPr>
        <w:t xml:space="preserve"> account balance is due by the first day of the quarter</w:t>
      </w:r>
      <w:r w:rsidR="003A7346">
        <w:rPr>
          <w:sz w:val="24"/>
          <w:szCs w:val="24"/>
        </w:rPr>
        <w:t xml:space="preserve"> (January 1, April 1, July 1 and October 1)</w:t>
      </w:r>
      <w:r w:rsidR="002A7BD9" w:rsidRPr="0010331E">
        <w:rPr>
          <w:sz w:val="24"/>
          <w:szCs w:val="24"/>
        </w:rPr>
        <w:t xml:space="preserve"> and becomes delinquent if not paid</w:t>
      </w:r>
      <w:r w:rsidR="00D7583D" w:rsidRPr="0010331E">
        <w:rPr>
          <w:sz w:val="24"/>
          <w:szCs w:val="24"/>
        </w:rPr>
        <w:t xml:space="preserve"> </w:t>
      </w:r>
      <w:r w:rsidR="00376410" w:rsidRPr="0010331E">
        <w:rPr>
          <w:sz w:val="24"/>
          <w:szCs w:val="24"/>
        </w:rPr>
        <w:t>by then</w:t>
      </w:r>
      <w:r w:rsidR="002A7BD9" w:rsidRPr="0010331E">
        <w:rPr>
          <w:sz w:val="24"/>
          <w:szCs w:val="24"/>
        </w:rPr>
        <w:t>.</w:t>
      </w:r>
    </w:p>
    <w:p w14:paraId="52863581" w14:textId="77777777" w:rsidR="0020103D" w:rsidRPr="0010331E" w:rsidRDefault="0020103D" w:rsidP="00771279">
      <w:pPr>
        <w:pStyle w:val="NoSpacing"/>
        <w:rPr>
          <w:sz w:val="24"/>
          <w:szCs w:val="24"/>
        </w:rPr>
      </w:pPr>
    </w:p>
    <w:p w14:paraId="0DC65C87" w14:textId="5CE6D8F7" w:rsidR="0020103D" w:rsidRPr="0010331E" w:rsidRDefault="00107150" w:rsidP="00771279">
      <w:pPr>
        <w:pStyle w:val="NoSpacing"/>
        <w:rPr>
          <w:sz w:val="24"/>
          <w:szCs w:val="24"/>
        </w:rPr>
      </w:pPr>
      <w:r w:rsidRPr="0010331E">
        <w:rPr>
          <w:sz w:val="24"/>
          <w:szCs w:val="24"/>
        </w:rPr>
        <w:t>The HOA</w:t>
      </w:r>
      <w:r w:rsidR="003A7346">
        <w:rPr>
          <w:sz w:val="24"/>
          <w:szCs w:val="24"/>
        </w:rPr>
        <w:t>’s</w:t>
      </w:r>
      <w:r w:rsidR="0020103D" w:rsidRPr="0010331E">
        <w:rPr>
          <w:sz w:val="24"/>
          <w:szCs w:val="24"/>
        </w:rPr>
        <w:t xml:space="preserve"> Collection Policy</w:t>
      </w:r>
      <w:r w:rsidR="000F5480" w:rsidRPr="0010331E">
        <w:rPr>
          <w:sz w:val="24"/>
          <w:szCs w:val="24"/>
        </w:rPr>
        <w:t xml:space="preserve"> (see copy at </w:t>
      </w:r>
      <w:hyperlink r:id="rId7" w:history="1">
        <w:r w:rsidR="00D70FA6" w:rsidRPr="0010331E">
          <w:rPr>
            <w:rStyle w:val="Hyperlink"/>
            <w:sz w:val="24"/>
            <w:szCs w:val="24"/>
          </w:rPr>
          <w:t>www.highlandsranchhoa.com</w:t>
        </w:r>
      </w:hyperlink>
      <w:r w:rsidR="00D70FA6" w:rsidRPr="0010331E">
        <w:rPr>
          <w:sz w:val="24"/>
          <w:szCs w:val="24"/>
        </w:rPr>
        <w:t xml:space="preserve"> under </w:t>
      </w:r>
      <w:r w:rsidR="003A7346">
        <w:rPr>
          <w:sz w:val="24"/>
          <w:szCs w:val="24"/>
        </w:rPr>
        <w:t>Governing</w:t>
      </w:r>
      <w:r w:rsidR="00D70FA6" w:rsidRPr="0010331E">
        <w:rPr>
          <w:sz w:val="24"/>
          <w:szCs w:val="24"/>
        </w:rPr>
        <w:t xml:space="preserve"> Documents</w:t>
      </w:r>
      <w:r w:rsidR="000F5480" w:rsidRPr="0010331E">
        <w:rPr>
          <w:sz w:val="24"/>
          <w:szCs w:val="24"/>
        </w:rPr>
        <w:t>)</w:t>
      </w:r>
      <w:r w:rsidR="0020103D" w:rsidRPr="0010331E">
        <w:rPr>
          <w:sz w:val="24"/>
          <w:szCs w:val="24"/>
        </w:rPr>
        <w:t xml:space="preserve"> states</w:t>
      </w:r>
      <w:r w:rsidR="000F5480" w:rsidRPr="0010331E">
        <w:rPr>
          <w:sz w:val="24"/>
          <w:szCs w:val="24"/>
        </w:rPr>
        <w:t xml:space="preserve"> that</w:t>
      </w:r>
      <w:r w:rsidR="0020103D" w:rsidRPr="0010331E">
        <w:rPr>
          <w:sz w:val="24"/>
          <w:szCs w:val="24"/>
        </w:rPr>
        <w:t xml:space="preserve"> the following </w:t>
      </w:r>
      <w:r w:rsidR="002E3D68" w:rsidRPr="0010331E">
        <w:rPr>
          <w:sz w:val="24"/>
          <w:szCs w:val="24"/>
        </w:rPr>
        <w:t>Collection N</w:t>
      </w:r>
      <w:r w:rsidR="0020103D" w:rsidRPr="0010331E">
        <w:rPr>
          <w:sz w:val="24"/>
          <w:szCs w:val="24"/>
        </w:rPr>
        <w:t xml:space="preserve">otices will be sent to owners </w:t>
      </w:r>
      <w:r w:rsidR="0085210A" w:rsidRPr="0010331E">
        <w:rPr>
          <w:sz w:val="24"/>
          <w:szCs w:val="24"/>
        </w:rPr>
        <w:t>who have</w:t>
      </w:r>
      <w:r w:rsidR="0020103D" w:rsidRPr="0010331E">
        <w:rPr>
          <w:sz w:val="24"/>
          <w:szCs w:val="24"/>
        </w:rPr>
        <w:t xml:space="preserve"> delinquent accounts:</w:t>
      </w:r>
    </w:p>
    <w:p w14:paraId="72897A8C" w14:textId="6305FB6D" w:rsidR="0020103D" w:rsidRPr="0010331E" w:rsidRDefault="0020103D" w:rsidP="00444FD0">
      <w:pPr>
        <w:pStyle w:val="NoSpacing"/>
        <w:numPr>
          <w:ilvl w:val="0"/>
          <w:numId w:val="1"/>
        </w:numPr>
        <w:rPr>
          <w:sz w:val="24"/>
          <w:szCs w:val="24"/>
        </w:rPr>
      </w:pPr>
      <w:r w:rsidRPr="00EA6BF6">
        <w:rPr>
          <w:b/>
          <w:bCs/>
          <w:sz w:val="24"/>
          <w:szCs w:val="24"/>
        </w:rPr>
        <w:t>First Notice</w:t>
      </w:r>
      <w:r w:rsidRPr="0010331E">
        <w:rPr>
          <w:sz w:val="24"/>
          <w:szCs w:val="24"/>
        </w:rPr>
        <w:t xml:space="preserve">:  Once an account is </w:t>
      </w:r>
      <w:r w:rsidR="0085210A" w:rsidRPr="0010331E">
        <w:rPr>
          <w:sz w:val="24"/>
          <w:szCs w:val="24"/>
        </w:rPr>
        <w:t>a</w:t>
      </w:r>
      <w:r w:rsidR="001D24EE" w:rsidRPr="0010331E">
        <w:rPr>
          <w:sz w:val="24"/>
          <w:szCs w:val="24"/>
        </w:rPr>
        <w:t>t least</w:t>
      </w:r>
      <w:r w:rsidR="0085210A" w:rsidRPr="0010331E">
        <w:rPr>
          <w:sz w:val="24"/>
          <w:szCs w:val="24"/>
        </w:rPr>
        <w:t xml:space="preserve"> 30 days </w:t>
      </w:r>
      <w:r w:rsidRPr="0010331E">
        <w:rPr>
          <w:sz w:val="24"/>
          <w:szCs w:val="24"/>
        </w:rPr>
        <w:t>delinquent, a notice is sent</w:t>
      </w:r>
      <w:r w:rsidR="00D7583D" w:rsidRPr="0010331E">
        <w:rPr>
          <w:sz w:val="24"/>
          <w:szCs w:val="24"/>
        </w:rPr>
        <w:t xml:space="preserve"> </w:t>
      </w:r>
      <w:r w:rsidRPr="0010331E">
        <w:rPr>
          <w:sz w:val="24"/>
          <w:szCs w:val="24"/>
        </w:rPr>
        <w:t xml:space="preserve">by </w:t>
      </w:r>
      <w:r w:rsidRPr="00736DF3">
        <w:rPr>
          <w:sz w:val="24"/>
          <w:szCs w:val="24"/>
          <w:u w:val="single"/>
        </w:rPr>
        <w:t>regular mail</w:t>
      </w:r>
      <w:r w:rsidR="003F70F1" w:rsidRPr="0010331E">
        <w:rPr>
          <w:sz w:val="24"/>
          <w:szCs w:val="24"/>
        </w:rPr>
        <w:t>,</w:t>
      </w:r>
      <w:r w:rsidRPr="0010331E">
        <w:rPr>
          <w:sz w:val="24"/>
          <w:szCs w:val="24"/>
        </w:rPr>
        <w:t xml:space="preserve"> asking that the account be brought current</w:t>
      </w:r>
      <w:r w:rsidR="002E3D68" w:rsidRPr="0010331E">
        <w:rPr>
          <w:sz w:val="24"/>
          <w:szCs w:val="24"/>
        </w:rPr>
        <w:t xml:space="preserve"> immediately</w:t>
      </w:r>
      <w:r w:rsidRPr="0010331E">
        <w:rPr>
          <w:sz w:val="24"/>
          <w:szCs w:val="24"/>
        </w:rPr>
        <w:t>.</w:t>
      </w:r>
    </w:p>
    <w:p w14:paraId="57E0D3DC" w14:textId="77777777" w:rsidR="00EA6BF6" w:rsidRDefault="00444FD0" w:rsidP="00771279">
      <w:pPr>
        <w:pStyle w:val="NoSpacing"/>
        <w:numPr>
          <w:ilvl w:val="0"/>
          <w:numId w:val="1"/>
        </w:numPr>
        <w:rPr>
          <w:sz w:val="24"/>
          <w:szCs w:val="24"/>
        </w:rPr>
      </w:pPr>
      <w:r w:rsidRPr="00EA6BF6">
        <w:rPr>
          <w:b/>
          <w:bCs/>
          <w:sz w:val="24"/>
          <w:szCs w:val="24"/>
        </w:rPr>
        <w:t>Second</w:t>
      </w:r>
      <w:r w:rsidR="002E3D68" w:rsidRPr="00EA6BF6">
        <w:rPr>
          <w:b/>
          <w:bCs/>
          <w:sz w:val="24"/>
          <w:szCs w:val="24"/>
        </w:rPr>
        <w:t xml:space="preserve"> Notice</w:t>
      </w:r>
      <w:r w:rsidR="002E3D68" w:rsidRPr="0010331E">
        <w:rPr>
          <w:sz w:val="24"/>
          <w:szCs w:val="24"/>
        </w:rPr>
        <w:t xml:space="preserve">:  After </w:t>
      </w:r>
      <w:r w:rsidR="001D24EE" w:rsidRPr="0010331E">
        <w:rPr>
          <w:sz w:val="24"/>
          <w:szCs w:val="24"/>
        </w:rPr>
        <w:t xml:space="preserve">an account is </w:t>
      </w:r>
      <w:r w:rsidR="00A251E8" w:rsidRPr="0010331E">
        <w:rPr>
          <w:sz w:val="24"/>
          <w:szCs w:val="24"/>
        </w:rPr>
        <w:t>a</w:t>
      </w:r>
      <w:r w:rsidR="001D24EE" w:rsidRPr="0010331E">
        <w:rPr>
          <w:sz w:val="24"/>
          <w:szCs w:val="24"/>
        </w:rPr>
        <w:t>t least</w:t>
      </w:r>
      <w:r w:rsidR="00A251E8" w:rsidRPr="0010331E">
        <w:rPr>
          <w:sz w:val="24"/>
          <w:szCs w:val="24"/>
        </w:rPr>
        <w:t xml:space="preserve"> </w:t>
      </w:r>
      <w:r w:rsidRPr="0010331E">
        <w:rPr>
          <w:sz w:val="24"/>
          <w:szCs w:val="24"/>
        </w:rPr>
        <w:t>6</w:t>
      </w:r>
      <w:r w:rsidR="002E3D68" w:rsidRPr="0010331E">
        <w:rPr>
          <w:sz w:val="24"/>
          <w:szCs w:val="24"/>
        </w:rPr>
        <w:t>0 days</w:t>
      </w:r>
      <w:r w:rsidR="003F70F1" w:rsidRPr="0010331E">
        <w:rPr>
          <w:sz w:val="24"/>
          <w:szCs w:val="24"/>
        </w:rPr>
        <w:t xml:space="preserve"> delinque</w:t>
      </w:r>
      <w:r w:rsidR="001D24EE" w:rsidRPr="0010331E">
        <w:rPr>
          <w:sz w:val="24"/>
          <w:szCs w:val="24"/>
        </w:rPr>
        <w:t>nt</w:t>
      </w:r>
      <w:r w:rsidR="002E3D68" w:rsidRPr="0010331E">
        <w:rPr>
          <w:sz w:val="24"/>
          <w:szCs w:val="24"/>
        </w:rPr>
        <w:t>, a notice is sent by</w:t>
      </w:r>
      <w:r w:rsidR="00B57973" w:rsidRPr="0010331E">
        <w:rPr>
          <w:sz w:val="24"/>
          <w:szCs w:val="24"/>
        </w:rPr>
        <w:t xml:space="preserve"> </w:t>
      </w:r>
      <w:r w:rsidR="00B57973" w:rsidRPr="00736DF3">
        <w:rPr>
          <w:sz w:val="24"/>
          <w:szCs w:val="24"/>
          <w:u w:val="single"/>
        </w:rPr>
        <w:t>regular mail</w:t>
      </w:r>
      <w:r w:rsidR="00B57973" w:rsidRPr="0010331E">
        <w:rPr>
          <w:sz w:val="24"/>
          <w:szCs w:val="24"/>
        </w:rPr>
        <w:t xml:space="preserve"> </w:t>
      </w:r>
      <w:r w:rsidR="00B57973" w:rsidRPr="0010331E">
        <w:rPr>
          <w:sz w:val="24"/>
          <w:szCs w:val="24"/>
          <w:u w:val="single"/>
        </w:rPr>
        <w:t>and</w:t>
      </w:r>
      <w:r w:rsidR="002E3D68" w:rsidRPr="0010331E">
        <w:rPr>
          <w:sz w:val="24"/>
          <w:szCs w:val="24"/>
        </w:rPr>
        <w:t xml:space="preserve"> </w:t>
      </w:r>
      <w:r w:rsidR="002E3D68" w:rsidRPr="00736DF3">
        <w:rPr>
          <w:sz w:val="24"/>
          <w:szCs w:val="24"/>
          <w:u w:val="single"/>
        </w:rPr>
        <w:t>certified mail</w:t>
      </w:r>
      <w:r w:rsidR="002E3D68" w:rsidRPr="0010331E">
        <w:rPr>
          <w:sz w:val="24"/>
          <w:szCs w:val="24"/>
        </w:rPr>
        <w:t xml:space="preserve"> </w:t>
      </w:r>
      <w:r w:rsidR="009A4E43" w:rsidRPr="0010331E">
        <w:rPr>
          <w:sz w:val="24"/>
          <w:szCs w:val="24"/>
        </w:rPr>
        <w:t>stating that</w:t>
      </w:r>
      <w:r w:rsidR="00EA6BF6">
        <w:rPr>
          <w:sz w:val="24"/>
          <w:szCs w:val="24"/>
        </w:rPr>
        <w:t>:</w:t>
      </w:r>
    </w:p>
    <w:p w14:paraId="33018168" w14:textId="11F491C4" w:rsidR="00EA6BF6" w:rsidRDefault="00EA6BF6" w:rsidP="00EA6BF6">
      <w:pPr>
        <w:pStyle w:val="NoSpacing"/>
        <w:ind w:left="1080" w:hanging="360"/>
        <w:rPr>
          <w:sz w:val="24"/>
          <w:szCs w:val="24"/>
        </w:rPr>
      </w:pPr>
      <w:r>
        <w:rPr>
          <w:sz w:val="24"/>
          <w:szCs w:val="24"/>
        </w:rPr>
        <w:t>a.</w:t>
      </w:r>
      <w:r w:rsidR="009A4E43" w:rsidRPr="0010331E">
        <w:rPr>
          <w:sz w:val="24"/>
          <w:szCs w:val="24"/>
        </w:rPr>
        <w:t xml:space="preserve"> </w:t>
      </w:r>
      <w:r>
        <w:rPr>
          <w:sz w:val="24"/>
          <w:szCs w:val="24"/>
        </w:rPr>
        <w:t xml:space="preserve">  T</w:t>
      </w:r>
      <w:r w:rsidR="001D24EE" w:rsidRPr="0010331E">
        <w:rPr>
          <w:sz w:val="24"/>
          <w:szCs w:val="24"/>
        </w:rPr>
        <w:t>he owner</w:t>
      </w:r>
      <w:r w:rsidR="009A4E43" w:rsidRPr="0010331E">
        <w:rPr>
          <w:sz w:val="24"/>
          <w:szCs w:val="24"/>
        </w:rPr>
        <w:t xml:space="preserve"> can ask for a hearing before the Board</w:t>
      </w:r>
      <w:r w:rsidR="003A7346">
        <w:rPr>
          <w:sz w:val="24"/>
          <w:szCs w:val="24"/>
        </w:rPr>
        <w:t>, but it must be received by the Board within 30 days after the date of th</w:t>
      </w:r>
      <w:r>
        <w:rPr>
          <w:sz w:val="24"/>
          <w:szCs w:val="24"/>
        </w:rPr>
        <w:t>is</w:t>
      </w:r>
      <w:r w:rsidR="003A7346">
        <w:rPr>
          <w:sz w:val="24"/>
          <w:szCs w:val="24"/>
        </w:rPr>
        <w:t xml:space="preserve"> Second Notice</w:t>
      </w:r>
      <w:r>
        <w:rPr>
          <w:sz w:val="24"/>
          <w:szCs w:val="24"/>
        </w:rPr>
        <w:t>.</w:t>
      </w:r>
      <w:r w:rsidR="009A4E43" w:rsidRPr="0010331E">
        <w:rPr>
          <w:sz w:val="24"/>
          <w:szCs w:val="24"/>
        </w:rPr>
        <w:t xml:space="preserve"> </w:t>
      </w:r>
    </w:p>
    <w:p w14:paraId="116D2352" w14:textId="6E88D09C" w:rsidR="00EA6BF6" w:rsidRDefault="00EA6BF6" w:rsidP="00EA6BF6">
      <w:pPr>
        <w:pStyle w:val="NoSpacing"/>
        <w:ind w:left="1080" w:hanging="360"/>
        <w:rPr>
          <w:sz w:val="24"/>
          <w:szCs w:val="24"/>
        </w:rPr>
      </w:pPr>
      <w:r>
        <w:rPr>
          <w:sz w:val="24"/>
          <w:szCs w:val="24"/>
        </w:rPr>
        <w:t xml:space="preserve">b.   If a hearing is requested timely, the Board will provide the owner at least 10 days’ notice of the date, time and place for the hearing and the hearing shall be held within 30 days after the Board receives the owner’s request. </w:t>
      </w:r>
    </w:p>
    <w:p w14:paraId="0A5B2D23" w14:textId="4CD40FC7" w:rsidR="00071ED1" w:rsidRDefault="00EA6BF6" w:rsidP="00071ED1">
      <w:pPr>
        <w:pStyle w:val="NoSpacing"/>
        <w:ind w:left="1080" w:hanging="360"/>
        <w:rPr>
          <w:sz w:val="24"/>
          <w:szCs w:val="24"/>
        </w:rPr>
      </w:pPr>
      <w:r>
        <w:rPr>
          <w:sz w:val="24"/>
          <w:szCs w:val="24"/>
        </w:rPr>
        <w:t>c.</w:t>
      </w:r>
      <w:r w:rsidR="009A4E43" w:rsidRPr="0010331E">
        <w:rPr>
          <w:sz w:val="24"/>
          <w:szCs w:val="24"/>
        </w:rPr>
        <w:t xml:space="preserve"> </w:t>
      </w:r>
      <w:r>
        <w:rPr>
          <w:sz w:val="24"/>
          <w:szCs w:val="24"/>
        </w:rPr>
        <w:t xml:space="preserve">  </w:t>
      </w:r>
      <w:r w:rsidR="00071ED1">
        <w:rPr>
          <w:sz w:val="24"/>
          <w:szCs w:val="24"/>
        </w:rPr>
        <w:t xml:space="preserve"> </w:t>
      </w:r>
      <w:r>
        <w:rPr>
          <w:sz w:val="24"/>
          <w:szCs w:val="24"/>
        </w:rPr>
        <w:t>I</w:t>
      </w:r>
      <w:r w:rsidR="009A4E43" w:rsidRPr="0010331E">
        <w:rPr>
          <w:sz w:val="24"/>
          <w:szCs w:val="24"/>
        </w:rPr>
        <w:t xml:space="preserve">f a hearing is </w:t>
      </w:r>
      <w:r w:rsidR="008E7DF3" w:rsidRPr="0010331E">
        <w:rPr>
          <w:sz w:val="24"/>
          <w:szCs w:val="24"/>
        </w:rPr>
        <w:t xml:space="preserve">not </w:t>
      </w:r>
      <w:r w:rsidR="009A4E43" w:rsidRPr="0010331E">
        <w:rPr>
          <w:sz w:val="24"/>
          <w:szCs w:val="24"/>
        </w:rPr>
        <w:t>requested with 30 days</w:t>
      </w:r>
      <w:r w:rsidR="00A251E8" w:rsidRPr="0010331E">
        <w:rPr>
          <w:sz w:val="24"/>
          <w:szCs w:val="24"/>
        </w:rPr>
        <w:t xml:space="preserve"> or the account is not paid in full within 30 days</w:t>
      </w:r>
      <w:r>
        <w:rPr>
          <w:sz w:val="24"/>
          <w:szCs w:val="24"/>
        </w:rPr>
        <w:t xml:space="preserve"> after the date of this Second Notice</w:t>
      </w:r>
      <w:r w:rsidR="00A251E8" w:rsidRPr="0010331E">
        <w:rPr>
          <w:sz w:val="24"/>
          <w:szCs w:val="24"/>
        </w:rPr>
        <w:t>, the account may be sent to the HOA</w:t>
      </w:r>
      <w:r w:rsidR="003F70F1" w:rsidRPr="0010331E">
        <w:rPr>
          <w:sz w:val="24"/>
          <w:szCs w:val="24"/>
        </w:rPr>
        <w:t>’s</w:t>
      </w:r>
      <w:r w:rsidR="00A251E8" w:rsidRPr="0010331E">
        <w:rPr>
          <w:sz w:val="24"/>
          <w:szCs w:val="24"/>
        </w:rPr>
        <w:t xml:space="preserve"> attorney for collection.</w:t>
      </w:r>
    </w:p>
    <w:p w14:paraId="7E6E2726" w14:textId="35D50618" w:rsidR="00071ED1" w:rsidRDefault="00071ED1" w:rsidP="00071ED1">
      <w:pPr>
        <w:pStyle w:val="NoSpacing"/>
        <w:ind w:left="1080" w:hanging="360"/>
        <w:rPr>
          <w:sz w:val="24"/>
          <w:szCs w:val="24"/>
        </w:rPr>
      </w:pPr>
      <w:r>
        <w:rPr>
          <w:sz w:val="24"/>
          <w:szCs w:val="24"/>
        </w:rPr>
        <w:t>d.   The owner may ask the Board to consider a payment plan under the HOA’s Payment Plan Policy (see website for Payment Plan Policy under Governing Documents).</w:t>
      </w:r>
    </w:p>
    <w:p w14:paraId="5F40D928" w14:textId="66DF40EC" w:rsidR="00781D20" w:rsidRPr="0010331E" w:rsidRDefault="003A7346" w:rsidP="00071ED1">
      <w:pPr>
        <w:pStyle w:val="NoSpacing"/>
        <w:ind w:left="1080" w:hanging="360"/>
        <w:rPr>
          <w:sz w:val="24"/>
          <w:szCs w:val="24"/>
        </w:rPr>
      </w:pPr>
      <w:r>
        <w:rPr>
          <w:sz w:val="24"/>
          <w:szCs w:val="24"/>
        </w:rPr>
        <w:t xml:space="preserve"> (Note:  This</w:t>
      </w:r>
      <w:r w:rsidR="00EA6BF6">
        <w:rPr>
          <w:sz w:val="24"/>
          <w:szCs w:val="24"/>
        </w:rPr>
        <w:t xml:space="preserve"> Second Notice</w:t>
      </w:r>
      <w:r>
        <w:rPr>
          <w:sz w:val="24"/>
          <w:szCs w:val="24"/>
        </w:rPr>
        <w:t xml:space="preserve"> is the legal notification per Texas Property Code section 209.007.)</w:t>
      </w:r>
    </w:p>
    <w:p w14:paraId="235B65E8" w14:textId="1DCA9A31" w:rsidR="002E3D68" w:rsidRPr="0010331E" w:rsidRDefault="004D04F7" w:rsidP="002A7BD9">
      <w:pPr>
        <w:pStyle w:val="NoSpacing"/>
        <w:numPr>
          <w:ilvl w:val="0"/>
          <w:numId w:val="1"/>
        </w:numPr>
        <w:rPr>
          <w:sz w:val="24"/>
          <w:szCs w:val="24"/>
        </w:rPr>
      </w:pPr>
      <w:r w:rsidRPr="00EA6BF6">
        <w:rPr>
          <w:b/>
          <w:bCs/>
          <w:sz w:val="24"/>
          <w:szCs w:val="24"/>
        </w:rPr>
        <w:t xml:space="preserve">Referral to </w:t>
      </w:r>
      <w:r w:rsidR="0085210A" w:rsidRPr="00EA6BF6">
        <w:rPr>
          <w:b/>
          <w:bCs/>
          <w:sz w:val="24"/>
          <w:szCs w:val="24"/>
        </w:rPr>
        <w:t>A</w:t>
      </w:r>
      <w:r w:rsidRPr="00EA6BF6">
        <w:rPr>
          <w:b/>
          <w:bCs/>
          <w:sz w:val="24"/>
          <w:szCs w:val="24"/>
        </w:rPr>
        <w:t>ttorney</w:t>
      </w:r>
      <w:r w:rsidR="0085210A" w:rsidRPr="00EA6BF6">
        <w:rPr>
          <w:b/>
          <w:bCs/>
          <w:sz w:val="24"/>
          <w:szCs w:val="24"/>
        </w:rPr>
        <w:t xml:space="preserve"> for collection</w:t>
      </w:r>
      <w:r w:rsidRPr="0010331E">
        <w:rPr>
          <w:sz w:val="24"/>
          <w:szCs w:val="24"/>
        </w:rPr>
        <w:t xml:space="preserve">:  </w:t>
      </w:r>
      <w:r w:rsidR="00D7583D" w:rsidRPr="0010331E">
        <w:rPr>
          <w:sz w:val="24"/>
          <w:szCs w:val="24"/>
        </w:rPr>
        <w:t>I</w:t>
      </w:r>
      <w:r w:rsidR="00736DF3">
        <w:rPr>
          <w:sz w:val="24"/>
          <w:szCs w:val="24"/>
        </w:rPr>
        <w:t>f</w:t>
      </w:r>
      <w:r w:rsidR="00D7583D" w:rsidRPr="0010331E">
        <w:rPr>
          <w:sz w:val="24"/>
          <w:szCs w:val="24"/>
        </w:rPr>
        <w:t xml:space="preserve"> the </w:t>
      </w:r>
      <w:r w:rsidR="00071ED1">
        <w:rPr>
          <w:sz w:val="24"/>
          <w:szCs w:val="24"/>
        </w:rPr>
        <w:t xml:space="preserve">delinquent </w:t>
      </w:r>
      <w:r w:rsidR="00D7583D" w:rsidRPr="0010331E">
        <w:rPr>
          <w:sz w:val="24"/>
          <w:szCs w:val="24"/>
        </w:rPr>
        <w:t xml:space="preserve">account is not </w:t>
      </w:r>
      <w:r w:rsidR="00071ED1">
        <w:rPr>
          <w:sz w:val="24"/>
          <w:szCs w:val="24"/>
        </w:rPr>
        <w:t>resolved in the manner set forth</w:t>
      </w:r>
      <w:r w:rsidR="00D7583D" w:rsidRPr="0010331E">
        <w:rPr>
          <w:sz w:val="24"/>
          <w:szCs w:val="24"/>
        </w:rPr>
        <w:t xml:space="preserve"> in the </w:t>
      </w:r>
      <w:r w:rsidR="00444FD0" w:rsidRPr="0010331E">
        <w:rPr>
          <w:sz w:val="24"/>
          <w:szCs w:val="24"/>
        </w:rPr>
        <w:t>Second</w:t>
      </w:r>
      <w:r w:rsidR="00D7583D" w:rsidRPr="0010331E">
        <w:rPr>
          <w:sz w:val="24"/>
          <w:szCs w:val="24"/>
        </w:rPr>
        <w:t xml:space="preserve"> Notice</w:t>
      </w:r>
      <w:r w:rsidRPr="0010331E">
        <w:rPr>
          <w:sz w:val="24"/>
          <w:szCs w:val="24"/>
        </w:rPr>
        <w:t>, the account is sent to the attorney for collection.</w:t>
      </w:r>
      <w:r w:rsidR="0085210A" w:rsidRPr="0010331E">
        <w:rPr>
          <w:sz w:val="24"/>
          <w:szCs w:val="24"/>
        </w:rPr>
        <w:t xml:space="preserve">  This process can include any number of actions, including placing a lien against the owner’s property</w:t>
      </w:r>
      <w:r w:rsidR="00736DF3">
        <w:rPr>
          <w:sz w:val="24"/>
          <w:szCs w:val="24"/>
        </w:rPr>
        <w:t xml:space="preserve"> and ultimately foreclosure</w:t>
      </w:r>
      <w:r w:rsidR="0085210A" w:rsidRPr="0010331E">
        <w:rPr>
          <w:sz w:val="24"/>
          <w:szCs w:val="24"/>
        </w:rPr>
        <w:t>.</w:t>
      </w:r>
      <w:r w:rsidRPr="0010331E">
        <w:rPr>
          <w:sz w:val="24"/>
          <w:szCs w:val="24"/>
        </w:rPr>
        <w:t xml:space="preserve">  </w:t>
      </w:r>
    </w:p>
    <w:p w14:paraId="55D7B456" w14:textId="77777777" w:rsidR="00781D20" w:rsidRPr="0010331E" w:rsidRDefault="00781D20" w:rsidP="00771279">
      <w:pPr>
        <w:pStyle w:val="NoSpacing"/>
        <w:rPr>
          <w:sz w:val="24"/>
          <w:szCs w:val="24"/>
        </w:rPr>
      </w:pPr>
    </w:p>
    <w:p w14:paraId="3BA0474C" w14:textId="263D2913" w:rsidR="00781D20" w:rsidRPr="0010331E" w:rsidRDefault="00444FD0" w:rsidP="00771279">
      <w:pPr>
        <w:pStyle w:val="NoSpacing"/>
        <w:rPr>
          <w:sz w:val="24"/>
          <w:szCs w:val="24"/>
        </w:rPr>
      </w:pPr>
      <w:r w:rsidRPr="0010331E">
        <w:rPr>
          <w:sz w:val="24"/>
          <w:szCs w:val="24"/>
        </w:rPr>
        <w:t xml:space="preserve">DAMC </w:t>
      </w:r>
      <w:r w:rsidR="00736DF3">
        <w:rPr>
          <w:sz w:val="24"/>
          <w:szCs w:val="24"/>
        </w:rPr>
        <w:t xml:space="preserve">charges </w:t>
      </w:r>
      <w:r w:rsidRPr="0010331E">
        <w:rPr>
          <w:sz w:val="24"/>
          <w:szCs w:val="24"/>
        </w:rPr>
        <w:t>fees to the</w:t>
      </w:r>
      <w:r w:rsidR="003F70F1" w:rsidRPr="0010331E">
        <w:rPr>
          <w:sz w:val="24"/>
          <w:szCs w:val="24"/>
        </w:rPr>
        <w:t xml:space="preserve"> delinquent owner’s</w:t>
      </w:r>
      <w:r w:rsidR="002E3D68" w:rsidRPr="0010331E">
        <w:rPr>
          <w:sz w:val="24"/>
          <w:szCs w:val="24"/>
        </w:rPr>
        <w:t xml:space="preserve"> account fo</w:t>
      </w:r>
      <w:r w:rsidRPr="0010331E">
        <w:rPr>
          <w:sz w:val="24"/>
          <w:szCs w:val="24"/>
        </w:rPr>
        <w:t>r</w:t>
      </w:r>
      <w:r w:rsidR="002E3D68" w:rsidRPr="0010331E">
        <w:rPr>
          <w:sz w:val="24"/>
          <w:szCs w:val="24"/>
        </w:rPr>
        <w:t xml:space="preserve"> Collection Letter</w:t>
      </w:r>
      <w:r w:rsidRPr="0010331E">
        <w:rPr>
          <w:sz w:val="24"/>
          <w:szCs w:val="24"/>
        </w:rPr>
        <w:t>s</w:t>
      </w:r>
      <w:r w:rsidR="002E3D68" w:rsidRPr="0010331E">
        <w:rPr>
          <w:sz w:val="24"/>
          <w:szCs w:val="24"/>
        </w:rPr>
        <w:t xml:space="preserve"> mailed to </w:t>
      </w:r>
      <w:r w:rsidR="003F70F1" w:rsidRPr="0010331E">
        <w:rPr>
          <w:sz w:val="24"/>
          <w:szCs w:val="24"/>
        </w:rPr>
        <w:t>the owner</w:t>
      </w:r>
      <w:r w:rsidR="002E3D68" w:rsidRPr="0010331E">
        <w:rPr>
          <w:sz w:val="24"/>
          <w:szCs w:val="24"/>
        </w:rPr>
        <w:t xml:space="preserve"> as follows:</w:t>
      </w:r>
    </w:p>
    <w:p w14:paraId="11945651" w14:textId="468FD9EE" w:rsidR="002E3D68" w:rsidRPr="0010331E" w:rsidRDefault="002E3D68" w:rsidP="00444FD0">
      <w:pPr>
        <w:pStyle w:val="NoSpacing"/>
        <w:numPr>
          <w:ilvl w:val="0"/>
          <w:numId w:val="2"/>
        </w:numPr>
        <w:rPr>
          <w:sz w:val="24"/>
          <w:szCs w:val="24"/>
        </w:rPr>
      </w:pPr>
      <w:r w:rsidRPr="0010331E">
        <w:rPr>
          <w:sz w:val="24"/>
          <w:szCs w:val="24"/>
        </w:rPr>
        <w:t xml:space="preserve">First Notice:  </w:t>
      </w:r>
      <w:r w:rsidR="00444FD0" w:rsidRPr="0010331E">
        <w:rPr>
          <w:sz w:val="24"/>
          <w:szCs w:val="24"/>
        </w:rPr>
        <w:t>DAMC does not</w:t>
      </w:r>
      <w:r w:rsidRPr="0010331E">
        <w:rPr>
          <w:sz w:val="24"/>
          <w:szCs w:val="24"/>
        </w:rPr>
        <w:t xml:space="preserve"> charge</w:t>
      </w:r>
      <w:r w:rsidR="00444FD0" w:rsidRPr="0010331E">
        <w:rPr>
          <w:sz w:val="24"/>
          <w:szCs w:val="24"/>
        </w:rPr>
        <w:t xml:space="preserve"> a fee</w:t>
      </w:r>
      <w:r w:rsidR="0085210A" w:rsidRPr="0010331E">
        <w:rPr>
          <w:sz w:val="24"/>
          <w:szCs w:val="24"/>
        </w:rPr>
        <w:t xml:space="preserve">.  </w:t>
      </w:r>
    </w:p>
    <w:p w14:paraId="6FF22D20" w14:textId="677D300D" w:rsidR="002E3D68" w:rsidRPr="0010331E" w:rsidRDefault="00444FD0" w:rsidP="002E3D68">
      <w:pPr>
        <w:pStyle w:val="NoSpacing"/>
        <w:numPr>
          <w:ilvl w:val="0"/>
          <w:numId w:val="2"/>
        </w:numPr>
        <w:rPr>
          <w:sz w:val="24"/>
          <w:szCs w:val="24"/>
        </w:rPr>
      </w:pPr>
      <w:r w:rsidRPr="0010331E">
        <w:rPr>
          <w:sz w:val="24"/>
          <w:szCs w:val="24"/>
        </w:rPr>
        <w:t>Second</w:t>
      </w:r>
      <w:r w:rsidR="002E3D68" w:rsidRPr="0010331E">
        <w:rPr>
          <w:sz w:val="24"/>
          <w:szCs w:val="24"/>
        </w:rPr>
        <w:t xml:space="preserve"> Notice:</w:t>
      </w:r>
      <w:r w:rsidR="00450CE7" w:rsidRPr="0010331E">
        <w:rPr>
          <w:sz w:val="24"/>
          <w:szCs w:val="24"/>
        </w:rPr>
        <w:t xml:space="preserve">  </w:t>
      </w:r>
      <w:r w:rsidRPr="0010331E">
        <w:rPr>
          <w:sz w:val="24"/>
          <w:szCs w:val="24"/>
        </w:rPr>
        <w:t>DAMC</w:t>
      </w:r>
      <w:r w:rsidR="00450CE7" w:rsidRPr="0010331E">
        <w:rPr>
          <w:sz w:val="24"/>
          <w:szCs w:val="24"/>
        </w:rPr>
        <w:t xml:space="preserve"> charges a certified </w:t>
      </w:r>
      <w:r w:rsidRPr="0010331E">
        <w:rPr>
          <w:sz w:val="24"/>
          <w:szCs w:val="24"/>
        </w:rPr>
        <w:t>mail</w:t>
      </w:r>
      <w:r w:rsidR="00450CE7" w:rsidRPr="0010331E">
        <w:rPr>
          <w:sz w:val="24"/>
          <w:szCs w:val="24"/>
        </w:rPr>
        <w:t xml:space="preserve"> fee of $15</w:t>
      </w:r>
      <w:r w:rsidR="0085210A" w:rsidRPr="0010331E">
        <w:rPr>
          <w:sz w:val="24"/>
          <w:szCs w:val="24"/>
        </w:rPr>
        <w:t>.</w:t>
      </w:r>
      <w:r w:rsidR="00D7583D" w:rsidRPr="0010331E">
        <w:rPr>
          <w:sz w:val="24"/>
          <w:szCs w:val="24"/>
        </w:rPr>
        <w:t xml:space="preserve">  </w:t>
      </w:r>
    </w:p>
    <w:p w14:paraId="721A4602" w14:textId="108EE1CF" w:rsidR="00450CE7" w:rsidRPr="0010331E" w:rsidRDefault="0085210A" w:rsidP="002E3D68">
      <w:pPr>
        <w:pStyle w:val="NoSpacing"/>
        <w:numPr>
          <w:ilvl w:val="0"/>
          <w:numId w:val="2"/>
        </w:numPr>
        <w:rPr>
          <w:sz w:val="24"/>
          <w:szCs w:val="24"/>
        </w:rPr>
      </w:pPr>
      <w:r w:rsidRPr="0010331E">
        <w:rPr>
          <w:sz w:val="24"/>
          <w:szCs w:val="24"/>
        </w:rPr>
        <w:t xml:space="preserve">Referral to Attorney: </w:t>
      </w:r>
      <w:r w:rsidR="001D24EE" w:rsidRPr="0010331E">
        <w:rPr>
          <w:sz w:val="24"/>
          <w:szCs w:val="24"/>
        </w:rPr>
        <w:t xml:space="preserve"> </w:t>
      </w:r>
      <w:r w:rsidR="00444FD0" w:rsidRPr="0010331E">
        <w:rPr>
          <w:sz w:val="24"/>
          <w:szCs w:val="24"/>
        </w:rPr>
        <w:t>DAMC does not</w:t>
      </w:r>
      <w:r w:rsidRPr="0010331E">
        <w:rPr>
          <w:sz w:val="24"/>
          <w:szCs w:val="24"/>
        </w:rPr>
        <w:t xml:space="preserve"> charge a referral</w:t>
      </w:r>
      <w:r w:rsidR="00444FD0" w:rsidRPr="0010331E">
        <w:rPr>
          <w:sz w:val="24"/>
          <w:szCs w:val="24"/>
        </w:rPr>
        <w:t xml:space="preserve"> fee</w:t>
      </w:r>
      <w:r w:rsidRPr="0010331E">
        <w:rPr>
          <w:sz w:val="24"/>
          <w:szCs w:val="24"/>
        </w:rPr>
        <w:t xml:space="preserve">.  </w:t>
      </w:r>
      <w:r w:rsidR="00444FD0" w:rsidRPr="0010331E">
        <w:rPr>
          <w:sz w:val="24"/>
          <w:szCs w:val="24"/>
        </w:rPr>
        <w:t>However</w:t>
      </w:r>
      <w:r w:rsidRPr="0010331E">
        <w:rPr>
          <w:sz w:val="24"/>
          <w:szCs w:val="24"/>
        </w:rPr>
        <w:t>, t</w:t>
      </w:r>
      <w:r w:rsidR="00450CE7" w:rsidRPr="0010331E">
        <w:rPr>
          <w:sz w:val="24"/>
          <w:szCs w:val="24"/>
        </w:rPr>
        <w:t xml:space="preserve">he owner will </w:t>
      </w:r>
      <w:r w:rsidRPr="0010331E">
        <w:rPr>
          <w:sz w:val="24"/>
          <w:szCs w:val="24"/>
        </w:rPr>
        <w:t xml:space="preserve">most likely </w:t>
      </w:r>
      <w:r w:rsidR="00450CE7" w:rsidRPr="0010331E">
        <w:rPr>
          <w:sz w:val="24"/>
          <w:szCs w:val="24"/>
        </w:rPr>
        <w:t>be billed a minimum of $250 by the attorney.</w:t>
      </w:r>
      <w:r w:rsidR="004D04F7" w:rsidRPr="0010331E">
        <w:rPr>
          <w:sz w:val="24"/>
          <w:szCs w:val="24"/>
        </w:rPr>
        <w:t xml:space="preserve">  Additional </w:t>
      </w:r>
      <w:r w:rsidR="001D24EE" w:rsidRPr="0010331E">
        <w:rPr>
          <w:sz w:val="24"/>
          <w:szCs w:val="24"/>
        </w:rPr>
        <w:t xml:space="preserve">fees and </w:t>
      </w:r>
      <w:r w:rsidR="004D04F7" w:rsidRPr="0010331E">
        <w:rPr>
          <w:sz w:val="24"/>
          <w:szCs w:val="24"/>
        </w:rPr>
        <w:t>cost</w:t>
      </w:r>
      <w:r w:rsidR="001D24EE" w:rsidRPr="0010331E">
        <w:rPr>
          <w:sz w:val="24"/>
          <w:szCs w:val="24"/>
        </w:rPr>
        <w:t>s</w:t>
      </w:r>
      <w:r w:rsidR="004D04F7" w:rsidRPr="0010331E">
        <w:rPr>
          <w:sz w:val="24"/>
          <w:szCs w:val="24"/>
        </w:rPr>
        <w:t xml:space="preserve"> may also be charged to the owner</w:t>
      </w:r>
      <w:r w:rsidRPr="0010331E">
        <w:rPr>
          <w:sz w:val="24"/>
          <w:szCs w:val="24"/>
        </w:rPr>
        <w:t xml:space="preserve"> by the attorney</w:t>
      </w:r>
      <w:r w:rsidR="004D04F7" w:rsidRPr="0010331E">
        <w:rPr>
          <w:sz w:val="24"/>
          <w:szCs w:val="24"/>
        </w:rPr>
        <w:t>.</w:t>
      </w:r>
    </w:p>
    <w:p w14:paraId="16F37150" w14:textId="144EC615" w:rsidR="00450CE7" w:rsidRPr="0010331E" w:rsidRDefault="00450CE7" w:rsidP="00450CE7">
      <w:pPr>
        <w:pStyle w:val="NoSpacing"/>
        <w:rPr>
          <w:sz w:val="24"/>
          <w:szCs w:val="24"/>
        </w:rPr>
      </w:pPr>
    </w:p>
    <w:p w14:paraId="2377CF65" w14:textId="77777777" w:rsidR="00736DF3" w:rsidRDefault="00450CE7" w:rsidP="00450CE7">
      <w:pPr>
        <w:pStyle w:val="NoSpacing"/>
        <w:rPr>
          <w:sz w:val="24"/>
          <w:szCs w:val="24"/>
        </w:rPr>
      </w:pPr>
      <w:r w:rsidRPr="0010331E">
        <w:rPr>
          <w:sz w:val="24"/>
          <w:szCs w:val="24"/>
        </w:rPr>
        <w:t xml:space="preserve">As can </w:t>
      </w:r>
      <w:r w:rsidR="00167935" w:rsidRPr="0010331E">
        <w:rPr>
          <w:sz w:val="24"/>
          <w:szCs w:val="24"/>
        </w:rPr>
        <w:t xml:space="preserve">be </w:t>
      </w:r>
      <w:r w:rsidRPr="0010331E">
        <w:rPr>
          <w:sz w:val="24"/>
          <w:szCs w:val="24"/>
        </w:rPr>
        <w:t>see</w:t>
      </w:r>
      <w:r w:rsidR="003F70F1" w:rsidRPr="0010331E">
        <w:rPr>
          <w:sz w:val="24"/>
          <w:szCs w:val="24"/>
        </w:rPr>
        <w:t>n</w:t>
      </w:r>
      <w:r w:rsidRPr="0010331E">
        <w:rPr>
          <w:sz w:val="24"/>
          <w:szCs w:val="24"/>
        </w:rPr>
        <w:t>, these charges can add up</w:t>
      </w:r>
      <w:r w:rsidR="00444FD0" w:rsidRPr="0010331E">
        <w:rPr>
          <w:sz w:val="24"/>
          <w:szCs w:val="24"/>
        </w:rPr>
        <w:t xml:space="preserve"> over time</w:t>
      </w:r>
      <w:r w:rsidRPr="0010331E">
        <w:rPr>
          <w:sz w:val="24"/>
          <w:szCs w:val="24"/>
        </w:rPr>
        <w:t xml:space="preserve">.  </w:t>
      </w:r>
      <w:r w:rsidR="003F70F1" w:rsidRPr="0010331E">
        <w:rPr>
          <w:sz w:val="24"/>
          <w:szCs w:val="24"/>
        </w:rPr>
        <w:t xml:space="preserve">In addition, interest at 10% per annum is charged on delinquent balances.  </w:t>
      </w:r>
    </w:p>
    <w:p w14:paraId="578D1D9D" w14:textId="77777777" w:rsidR="00736DF3" w:rsidRDefault="00736DF3" w:rsidP="00450CE7">
      <w:pPr>
        <w:pStyle w:val="NoSpacing"/>
        <w:rPr>
          <w:sz w:val="24"/>
          <w:szCs w:val="24"/>
        </w:rPr>
      </w:pPr>
    </w:p>
    <w:p w14:paraId="2D11DA10" w14:textId="465C21E5" w:rsidR="00450CE7" w:rsidRPr="0010331E" w:rsidRDefault="00450CE7" w:rsidP="00450CE7">
      <w:pPr>
        <w:pStyle w:val="NoSpacing"/>
        <w:rPr>
          <w:b/>
          <w:sz w:val="24"/>
          <w:szCs w:val="24"/>
        </w:rPr>
      </w:pPr>
      <w:r w:rsidRPr="0010331E">
        <w:rPr>
          <w:b/>
          <w:sz w:val="24"/>
          <w:szCs w:val="24"/>
        </w:rPr>
        <w:t xml:space="preserve">Therefore, the Board is asking that each owner please pay their account balance timely and avoid these </w:t>
      </w:r>
      <w:r w:rsidR="009C7CF8" w:rsidRPr="0010331E">
        <w:rPr>
          <w:b/>
          <w:sz w:val="24"/>
          <w:szCs w:val="24"/>
        </w:rPr>
        <w:t>charges</w:t>
      </w:r>
      <w:r w:rsidRPr="0010331E">
        <w:rPr>
          <w:b/>
          <w:sz w:val="24"/>
          <w:szCs w:val="24"/>
        </w:rPr>
        <w:t>.</w:t>
      </w:r>
    </w:p>
    <w:p w14:paraId="4857C38B" w14:textId="70EF4980" w:rsidR="005F3F98" w:rsidRPr="0010331E" w:rsidRDefault="005F3F98" w:rsidP="00771279">
      <w:pPr>
        <w:pStyle w:val="NoSpacing"/>
        <w:rPr>
          <w:sz w:val="24"/>
          <w:szCs w:val="24"/>
        </w:rPr>
      </w:pPr>
    </w:p>
    <w:sectPr w:rsidR="005F3F98" w:rsidRPr="0010331E" w:rsidSect="001D24EE">
      <w:pgSz w:w="12240" w:h="15840"/>
      <w:pgMar w:top="864"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7D3EE" w14:textId="77777777" w:rsidR="00A74BA6" w:rsidRDefault="00A74BA6" w:rsidP="00444FD0">
      <w:pPr>
        <w:spacing w:after="0" w:line="240" w:lineRule="auto"/>
      </w:pPr>
      <w:r>
        <w:separator/>
      </w:r>
    </w:p>
  </w:endnote>
  <w:endnote w:type="continuationSeparator" w:id="0">
    <w:p w14:paraId="074004F0" w14:textId="77777777" w:rsidR="00A74BA6" w:rsidRDefault="00A74BA6" w:rsidP="00444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F1EE3" w14:textId="77777777" w:rsidR="00A74BA6" w:rsidRDefault="00A74BA6" w:rsidP="00444FD0">
      <w:pPr>
        <w:spacing w:after="0" w:line="240" w:lineRule="auto"/>
      </w:pPr>
      <w:r>
        <w:separator/>
      </w:r>
    </w:p>
  </w:footnote>
  <w:footnote w:type="continuationSeparator" w:id="0">
    <w:p w14:paraId="6DCC813E" w14:textId="77777777" w:rsidR="00A74BA6" w:rsidRDefault="00A74BA6" w:rsidP="00444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55661"/>
    <w:multiLevelType w:val="hybridMultilevel"/>
    <w:tmpl w:val="4E0E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D33AC"/>
    <w:multiLevelType w:val="hybridMultilevel"/>
    <w:tmpl w:val="53A8C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79"/>
    <w:rsid w:val="00037FD8"/>
    <w:rsid w:val="00071ED1"/>
    <w:rsid w:val="000F5480"/>
    <w:rsid w:val="0010331E"/>
    <w:rsid w:val="00107150"/>
    <w:rsid w:val="00154F59"/>
    <w:rsid w:val="00167935"/>
    <w:rsid w:val="00185F35"/>
    <w:rsid w:val="001909A6"/>
    <w:rsid w:val="001D24EE"/>
    <w:rsid w:val="0020103D"/>
    <w:rsid w:val="00201450"/>
    <w:rsid w:val="002A20F3"/>
    <w:rsid w:val="002A7BD9"/>
    <w:rsid w:val="002E3D68"/>
    <w:rsid w:val="00376410"/>
    <w:rsid w:val="003A7346"/>
    <w:rsid w:val="003F70F1"/>
    <w:rsid w:val="00444FD0"/>
    <w:rsid w:val="00450CE7"/>
    <w:rsid w:val="00477035"/>
    <w:rsid w:val="004857E0"/>
    <w:rsid w:val="004C1D2A"/>
    <w:rsid w:val="004D04F7"/>
    <w:rsid w:val="00552F64"/>
    <w:rsid w:val="005C45B8"/>
    <w:rsid w:val="005E28E6"/>
    <w:rsid w:val="005E47FB"/>
    <w:rsid w:val="005F3F98"/>
    <w:rsid w:val="007307B7"/>
    <w:rsid w:val="00734153"/>
    <w:rsid w:val="00736DF3"/>
    <w:rsid w:val="00771279"/>
    <w:rsid w:val="00781D20"/>
    <w:rsid w:val="0085210A"/>
    <w:rsid w:val="008E7DF3"/>
    <w:rsid w:val="008F6154"/>
    <w:rsid w:val="009A4E43"/>
    <w:rsid w:val="009C7CF8"/>
    <w:rsid w:val="009D253D"/>
    <w:rsid w:val="009F4168"/>
    <w:rsid w:val="00A20B5F"/>
    <w:rsid w:val="00A251E8"/>
    <w:rsid w:val="00A73668"/>
    <w:rsid w:val="00A74BA6"/>
    <w:rsid w:val="00AF7B58"/>
    <w:rsid w:val="00B46527"/>
    <w:rsid w:val="00B57973"/>
    <w:rsid w:val="00B9053E"/>
    <w:rsid w:val="00C27FBA"/>
    <w:rsid w:val="00CD7342"/>
    <w:rsid w:val="00D70FA6"/>
    <w:rsid w:val="00D7583D"/>
    <w:rsid w:val="00D91721"/>
    <w:rsid w:val="00DB11A0"/>
    <w:rsid w:val="00DC6028"/>
    <w:rsid w:val="00DD215C"/>
    <w:rsid w:val="00E40BE4"/>
    <w:rsid w:val="00EA6BF6"/>
    <w:rsid w:val="00ED2741"/>
    <w:rsid w:val="00EF23AB"/>
    <w:rsid w:val="00F33EB3"/>
    <w:rsid w:val="00FC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071C"/>
  <w15:docId w15:val="{44EF71F4-9434-4DC7-A88C-6B81C706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279"/>
    <w:pPr>
      <w:spacing w:after="0" w:line="240" w:lineRule="auto"/>
    </w:pPr>
  </w:style>
  <w:style w:type="character" w:styleId="Hyperlink">
    <w:name w:val="Hyperlink"/>
    <w:basedOn w:val="DefaultParagraphFont"/>
    <w:uiPriority w:val="99"/>
    <w:unhideWhenUsed/>
    <w:rsid w:val="00A73668"/>
    <w:rPr>
      <w:color w:val="0000FF" w:themeColor="hyperlink"/>
      <w:u w:val="single"/>
    </w:rPr>
  </w:style>
  <w:style w:type="character" w:styleId="UnresolvedMention">
    <w:name w:val="Unresolved Mention"/>
    <w:basedOn w:val="DefaultParagraphFont"/>
    <w:uiPriority w:val="99"/>
    <w:semiHidden/>
    <w:unhideWhenUsed/>
    <w:rsid w:val="00A73668"/>
    <w:rPr>
      <w:color w:val="605E5C"/>
      <w:shd w:val="clear" w:color="auto" w:fill="E1DFDD"/>
    </w:rPr>
  </w:style>
  <w:style w:type="paragraph" w:styleId="Header">
    <w:name w:val="header"/>
    <w:basedOn w:val="Normal"/>
    <w:link w:val="HeaderChar"/>
    <w:uiPriority w:val="99"/>
    <w:unhideWhenUsed/>
    <w:rsid w:val="00444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FD0"/>
  </w:style>
  <w:style w:type="paragraph" w:styleId="Footer">
    <w:name w:val="footer"/>
    <w:basedOn w:val="Normal"/>
    <w:link w:val="FooterChar"/>
    <w:uiPriority w:val="99"/>
    <w:unhideWhenUsed/>
    <w:rsid w:val="00444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ghlandsranchho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jimmyjunkin</cp:lastModifiedBy>
  <cp:revision>3</cp:revision>
  <cp:lastPrinted>2019-10-16T15:13:00Z</cp:lastPrinted>
  <dcterms:created xsi:type="dcterms:W3CDTF">2019-10-16T15:15:00Z</dcterms:created>
  <dcterms:modified xsi:type="dcterms:W3CDTF">2019-10-16T15:21:00Z</dcterms:modified>
</cp:coreProperties>
</file>